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FE6E6B" w:rsidRPr="0077051F" w:rsidRDefault="00FE6E6B" w:rsidP="00FE6E6B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55663">
        <w:rPr>
          <w:rFonts w:ascii="Times New Roman" w:eastAsia="Times New Roman" w:hAnsi="Times New Roman" w:cs="Times New Roman"/>
          <w:sz w:val="20"/>
          <w:szCs w:val="20"/>
          <w:lang w:eastAsia="cs-CZ"/>
        </w:rPr>
        <w:t>14358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/2015-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-Ú3/Kli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Mgr. Jaroslav Klimeš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722 819 305</w:t>
      </w:r>
    </w:p>
    <w:p w:rsidR="00FE6E6B" w:rsidRPr="00903797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0379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KlimesJa@szdc.cz</w:t>
      </w:r>
    </w:p>
    <w:p w:rsidR="00FE6E6B" w:rsidRPr="0077051F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455663">
        <w:rPr>
          <w:rFonts w:ascii="Times New Roman" w:eastAsia="Times New Roman" w:hAnsi="Times New Roman" w:cs="Times New Roman"/>
          <w:sz w:val="20"/>
          <w:szCs w:val="20"/>
          <w:lang w:eastAsia="cs-CZ"/>
        </w:rPr>
        <w:t>29</w:t>
      </w:r>
      <w:r w:rsidR="00760DD6">
        <w:rPr>
          <w:rFonts w:ascii="Times New Roman" w:eastAsia="Times New Roman" w:hAnsi="Times New Roman" w:cs="Times New Roman"/>
          <w:sz w:val="20"/>
          <w:szCs w:val="20"/>
          <w:lang w:eastAsia="cs-CZ"/>
        </w:rPr>
        <w:t>.12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2015</w:t>
      </w:r>
    </w:p>
    <w:p w:rsidR="00FE6E6B" w:rsidRPr="0077051F" w:rsidRDefault="00FE6E6B" w:rsidP="00FE6E6B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</w:t>
      </w:r>
      <w:r w:rsidR="00515F2F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FE6E6B" w:rsidRPr="0077051F" w:rsidRDefault="00FE6E6B" w:rsidP="00FE6E6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60DD6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</w:t>
      </w:r>
      <w:r w:rsidR="00A345E1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FE6E6B" w:rsidRPr="0077051F" w:rsidRDefault="00FE6E6B" w:rsidP="00FE6E6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FE6E6B" w:rsidRPr="00EB55CA" w:rsidRDefault="00FE6E6B" w:rsidP="00FE6E6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EB55CA">
        <w:rPr>
          <w:rFonts w:ascii="Times New Roman" w:eastAsia="Times New Roman" w:hAnsi="Times New Roman" w:cs="Times New Roman"/>
          <w:b/>
          <w:noProof/>
          <w:sz w:val="24"/>
          <w:szCs w:val="20"/>
        </w:rPr>
        <w:t>Rekonstrukce koleje č.1 a 2 Ostrov nad Oslavou-Žďár nad Sázavou</w:t>
      </w:r>
    </w:p>
    <w:p w:rsidR="00BE53B6" w:rsidRPr="00EB55CA" w:rsidRDefault="00FE6E6B" w:rsidP="00FE6E6B">
      <w:pPr>
        <w:rPr>
          <w:rFonts w:ascii="Times New Roman" w:hAnsi="Times New Roman" w:cs="Times New Roman"/>
        </w:rPr>
      </w:pPr>
      <w:r w:rsidRPr="00EB55CA">
        <w:rPr>
          <w:rFonts w:ascii="Times New Roman" w:hAnsi="Times New Roman" w:cs="Times New Roman"/>
          <w:lang w:eastAsia="cs-CZ"/>
        </w:rPr>
        <w:t xml:space="preserve">Dodatečné informace č. </w:t>
      </w:r>
      <w:r w:rsidR="00455663">
        <w:rPr>
          <w:rFonts w:ascii="Times New Roman" w:eastAsia="Times New Roman" w:hAnsi="Times New Roman" w:cs="Times New Roman"/>
          <w:lang w:eastAsia="cs-CZ"/>
        </w:rPr>
        <w:t>9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soupisu prací pro stavební objekt SO 02-16-01 se nachází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položky :</w:t>
      </w:r>
      <w:proofErr w:type="gramEnd"/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720"/>
        <w:gridCol w:w="4675"/>
        <w:gridCol w:w="820"/>
        <w:gridCol w:w="1613"/>
      </w:tblGrid>
      <w:tr w:rsidR="00676ACC" w:rsidRPr="00676ACC" w:rsidTr="00713897">
        <w:trPr>
          <w:trHeight w:val="67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15111_R</w:t>
            </w:r>
          </w:p>
        </w:tc>
        <w:tc>
          <w:tcPr>
            <w:tcW w:w="9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POPLATKY ZA LIKVIDACI ODPADŮ NEKONTAMINOVANÝCH - 17 05 04  VYTĚŽENÉ ZEMINY A HORNINY -  I. TŘÍDA TĚŽITELNOSTI;  VČETNĚ CENY ZA DOPRAVU NA SKLÁDKU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T         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ind w:right="-339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15 918,584</w:t>
            </w:r>
          </w:p>
        </w:tc>
      </w:tr>
      <w:tr w:rsidR="00676ACC" w:rsidRPr="00676ACC" w:rsidTr="00713897">
        <w:trPr>
          <w:trHeight w:val="67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015112_R 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POPLATKY ZA LIKVIDACI ODPADŮ NEKONTAMINOVANÝCH - 17 05 04  VYTĚŽENÉ ZEMINY A HORNINY -  II. TŘÍDA TĚŽITELNOSTI; VČETNĚ CENY ZA DOPRAVU NA SKLÁDKU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T        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55 296,135</w:t>
            </w:r>
          </w:p>
        </w:tc>
      </w:tr>
    </w:tbl>
    <w:p w:rsidR="001B5327" w:rsidRPr="00676ACC" w:rsidRDefault="001B5327" w:rsidP="001B5327">
      <w:pPr>
        <w:spacing w:after="0" w:line="240" w:lineRule="auto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Popis položky jasně říká o odpadech nekontaminovaných. Avšak dle našeho zjištění se v technické zprávě uvádí „Pro ostatní odtěžený materiál (zeminy, atd.) platí předpoklad, že do spodních vrstev znečištění neproniklo ve větším rozsahu, a rozdělení do kategorií pro skládkování je stanoveno jako 50% odpad inertní a 50% odpad ostatní“, což předpokládá kontaminovanou zeminu z výkopu. 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Žádáme Zadavatele o vysvětlení, zda se jedná o kontaminovanou zeminu.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Nejedná se o kontaminovanou zeminu. Zpracovatel soupisu prací vychází z předpokladu, že odpad inertní a ostatní nespadá do kategorie nebezpečného – kontaminovaného odpadu.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2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soupisu prací pro stavební objekt SO 02-16-01 se nachází položka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114"/>
        <w:gridCol w:w="6048"/>
        <w:gridCol w:w="629"/>
        <w:gridCol w:w="1135"/>
      </w:tblGrid>
      <w:tr w:rsidR="00676ACC" w:rsidRPr="00676ACC" w:rsidTr="00713897">
        <w:trPr>
          <w:trHeight w:val="26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25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17581          </w:t>
            </w:r>
          </w:p>
        </w:tc>
        <w:tc>
          <w:tcPr>
            <w:tcW w:w="9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OBSYP POTRUBÍ A OBJEKTŮ Z NAKUPOVANÝCH MATERIÁLŮ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M3        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10 361,460</w:t>
            </w:r>
          </w:p>
        </w:tc>
      </w:tr>
    </w:tbl>
    <w:p w:rsidR="001B5327" w:rsidRPr="00676ACC" w:rsidRDefault="001B5327" w:rsidP="001B5327">
      <w:pPr>
        <w:spacing w:after="0" w:line="240" w:lineRule="auto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Obsahuje tato položka zásyp pro všechny trativody i svodné potrubí?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Viz dodatečné informace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č.4 ze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dne 24.11.2015. Ano, tato položka obsahuje zásyp pro všechny trativody i svodná potrubí. 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3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soupisu prací pro stavebný objekt SO 02-16-01 se nachází položka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5421"/>
        <w:gridCol w:w="907"/>
        <w:gridCol w:w="1240"/>
      </w:tblGrid>
      <w:tr w:rsidR="00676ACC" w:rsidRPr="00676ACC" w:rsidTr="00713897">
        <w:trPr>
          <w:trHeight w:val="52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5014R01       </w:t>
            </w:r>
          </w:p>
        </w:tc>
        <w:tc>
          <w:tcPr>
            <w:tcW w:w="9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ZŘÍZENÍ KONSTRUKČNÍ VRSTVY TĚLESA ŽELEZNIČNÍHO SPODKU ZE ZEMINY ZLEPŠENÉ V MÍSTNÍM CENTRU HYDRAULICKÝM POJIVEM 4% (TYP KPP 6.2)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M3       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6 429,525</w:t>
            </w:r>
          </w:p>
        </w:tc>
      </w:tr>
    </w:tbl>
    <w:p w:rsidR="001B5327" w:rsidRPr="00676ACC" w:rsidRDefault="001B5327" w:rsidP="001B53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Žádáme Zadavatele o vysvětlení, která položka obsahuje odkop zeminy pro nově dovezenou zlepšenou zeminu konstrukční vrstvy. </w:t>
      </w: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="00515F2F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Veškeré práce na zřízení vrstvy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jsou</w:t>
      </w:r>
      <w:r w:rsidR="00515F2F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obsaženy v této položce. </w:t>
      </w:r>
      <w:proofErr w:type="gramStart"/>
      <w:r w:rsidR="00515F2F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Tzn. 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obsahuje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nejen odkop, ale i odvoz, mísení, zpětný odvoz, úprava – tedy všechny práce na zřízení vrstvy zlepšené zeminy. Technická specifikace položky je v tomto ohledu doplněna. 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bookmarkStart w:id="0" w:name="_GoBack"/>
      <w:bookmarkEnd w:id="0"/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4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soupisu prací pro stavební objekt SO 02-16-01 se nachází položky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153"/>
        <w:gridCol w:w="6300"/>
        <w:gridCol w:w="612"/>
        <w:gridCol w:w="854"/>
      </w:tblGrid>
      <w:tr w:rsidR="00676ACC" w:rsidRPr="00676ACC" w:rsidTr="00713897">
        <w:trPr>
          <w:trHeight w:val="26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45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87434R          </w:t>
            </w:r>
          </w:p>
        </w:tc>
        <w:tc>
          <w:tcPr>
            <w:tcW w:w="9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Z TRUB PLASTOVÝCH ODPADNÍCH DN DO 400MM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230,600</w:t>
            </w:r>
          </w:p>
        </w:tc>
      </w:tr>
      <w:tr w:rsidR="00676ACC" w:rsidRPr="00676ACC" w:rsidTr="00713897">
        <w:trPr>
          <w:trHeight w:val="26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87446R  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Z TRUB PLASTOVÝCH ODPADNÍCH DN DO 300MM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31,500</w:t>
            </w:r>
          </w:p>
        </w:tc>
      </w:tr>
      <w:tr w:rsidR="00676ACC" w:rsidRPr="00676ACC" w:rsidTr="00713897">
        <w:trPr>
          <w:trHeight w:val="26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87457         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Z TRUB PLASTOVÝCH ODPADNÍCH DN DO 500MM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25,000</w:t>
            </w:r>
          </w:p>
        </w:tc>
      </w:tr>
      <w:tr w:rsidR="00676ACC" w:rsidRPr="00676ACC" w:rsidTr="00713897">
        <w:trPr>
          <w:trHeight w:val="26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875332        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150MM DĚROVANÝCH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1 092,100</w:t>
            </w:r>
          </w:p>
        </w:tc>
      </w:tr>
      <w:tr w:rsidR="00676ACC" w:rsidRPr="00676ACC" w:rsidTr="00713897">
        <w:trPr>
          <w:trHeight w:val="26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875342        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200MM DĚROVANÝCH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1 121,200</w:t>
            </w:r>
          </w:p>
        </w:tc>
      </w:tr>
      <w:tr w:rsidR="00676ACC" w:rsidRPr="00676ACC" w:rsidTr="00713897">
        <w:trPr>
          <w:trHeight w:val="26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875342R        </w:t>
            </w:r>
          </w:p>
        </w:tc>
        <w:tc>
          <w:tcPr>
            <w:tcW w:w="9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250MM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120,900</w:t>
            </w:r>
          </w:p>
        </w:tc>
      </w:tr>
    </w:tbl>
    <w:p w:rsidR="001B5327" w:rsidRPr="00676ACC" w:rsidRDefault="001B5327" w:rsidP="001B53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Žádáme Zadavatele o vysvětlení, zda mají být obsahem těchto položek také obsyp a zásyp?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Obsyp a zásyp výše uvedených položek </w:t>
      </w:r>
      <w:proofErr w:type="spell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žel.spodku</w:t>
      </w:r>
      <w:proofErr w:type="spell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je součástí položky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č.25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. Viz dodatečné informace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č.4 ze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dne 24.11.2015.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5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soupisu prací pro stavební objekt SO 02-16-01 se nachází položky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352"/>
        <w:gridCol w:w="5421"/>
        <w:gridCol w:w="1192"/>
        <w:gridCol w:w="897"/>
      </w:tblGrid>
      <w:tr w:rsidR="00676ACC" w:rsidRPr="00676ACC" w:rsidTr="00713897">
        <w:trPr>
          <w:trHeight w:val="263"/>
        </w:trPr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48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875332         </w:t>
            </w:r>
          </w:p>
        </w:tc>
        <w:tc>
          <w:tcPr>
            <w:tcW w:w="5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150MM DĚROVANÝCH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1 092,100</w:t>
            </w:r>
          </w:p>
        </w:tc>
      </w:tr>
      <w:tr w:rsidR="00676ACC" w:rsidRPr="00676ACC" w:rsidTr="00713897">
        <w:trPr>
          <w:trHeight w:val="263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875342         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200MM DĚROVANÝCH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1 121,200</w:t>
            </w:r>
          </w:p>
        </w:tc>
      </w:tr>
      <w:tr w:rsidR="00676ACC" w:rsidRPr="00676ACC" w:rsidTr="00713897">
        <w:trPr>
          <w:trHeight w:val="263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875342R        </w:t>
            </w:r>
          </w:p>
        </w:tc>
        <w:tc>
          <w:tcPr>
            <w:tcW w:w="5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POTRUBÍ DREN Z TRUB PLAST DN DO 250MM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M        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120,900</w:t>
            </w:r>
          </w:p>
        </w:tc>
      </w:tr>
    </w:tbl>
    <w:p w:rsidR="001B5327" w:rsidRPr="00676ACC" w:rsidRDefault="001B5327" w:rsidP="001B5327">
      <w:pPr>
        <w:spacing w:after="0" w:line="240" w:lineRule="auto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Žádáme Zadavatele o vysvětlení, zda mají být obsahem těchto položek také filtrační </w:t>
      </w:r>
      <w:proofErr w:type="spellStart"/>
      <w:r w:rsidRPr="00676ACC">
        <w:rPr>
          <w:rFonts w:ascii="Times New Roman" w:hAnsi="Times New Roman" w:cs="Times New Roman"/>
          <w:lang w:bidi="ne-NP"/>
        </w:rPr>
        <w:t>geotextílie</w:t>
      </w:r>
      <w:proofErr w:type="spellEnd"/>
      <w:r w:rsidRPr="00676ACC">
        <w:rPr>
          <w:rFonts w:ascii="Times New Roman" w:hAnsi="Times New Roman" w:cs="Times New Roman"/>
          <w:lang w:bidi="ne-NP"/>
        </w:rPr>
        <w:t xml:space="preserve"> min. 200g/m2.</w:t>
      </w: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lastRenderedPageBreak/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Geotextilie</w:t>
      </w:r>
      <w:proofErr w:type="spell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není součástí položek č.48-50, ale je součástí položky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č.25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. Viz dodatečné informace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č.4 ze</w:t>
      </w:r>
      <w:proofErr w:type="gramEnd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dne 24.11.2015.</w:t>
      </w:r>
    </w:p>
    <w:p w:rsidR="001B5327" w:rsidRPr="00676ACC" w:rsidRDefault="001B5327" w:rsidP="001B5327">
      <w:pPr>
        <w:spacing w:after="0" w:line="240" w:lineRule="auto"/>
        <w:ind w:left="720"/>
        <w:jc w:val="both"/>
        <w:rPr>
          <w:rFonts w:ascii="Times New Roman" w:hAnsi="Times New Roman" w:cs="Times New Roman"/>
          <w:lang w:bidi="ne-NP"/>
        </w:rPr>
      </w:pPr>
    </w:p>
    <w:p w:rsidR="001B5327" w:rsidRPr="00676ACC" w:rsidRDefault="001B5327" w:rsidP="001B532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Žádáme Zadavatele o vysvětlení, jestli nemá být obsahem </w:t>
      </w:r>
      <w:proofErr w:type="gramStart"/>
      <w:r w:rsidRPr="00676ACC">
        <w:rPr>
          <w:rFonts w:ascii="Times New Roman" w:hAnsi="Times New Roman" w:cs="Times New Roman"/>
          <w:lang w:bidi="ne-NP"/>
        </w:rPr>
        <w:t>těchto  položek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i filtrační </w:t>
      </w:r>
      <w:proofErr w:type="spellStart"/>
      <w:r w:rsidRPr="00676ACC">
        <w:rPr>
          <w:rFonts w:ascii="Times New Roman" w:hAnsi="Times New Roman" w:cs="Times New Roman"/>
          <w:lang w:bidi="ne-NP"/>
        </w:rPr>
        <w:t>geotextílie</w:t>
      </w:r>
      <w:proofErr w:type="spellEnd"/>
      <w:r w:rsidRPr="00676ACC">
        <w:rPr>
          <w:rFonts w:ascii="Times New Roman" w:hAnsi="Times New Roman" w:cs="Times New Roman"/>
          <w:lang w:bidi="ne-NP"/>
        </w:rPr>
        <w:t xml:space="preserve"> min. 200g/m2, ve které položce má být obsažena. </w:t>
      </w: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Viz vysvětlení uvedené v bodu a) dotazu </w:t>
      </w:r>
      <w:proofErr w:type="gramStart"/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č.5.</w:t>
      </w:r>
      <w:proofErr w:type="gramEnd"/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6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soupisu prací pro stavební objekt Všeobecní položky se nachází položka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č.1 Realizační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dokumentace. Společnost Moravia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consult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Olomouc a.s. realizační dokumentaci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nespracuje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>. U jaké společnosti si má zhotovitel objednat realizační dokumentaci?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Zajistit si subdodávky nezbytné pro realizaci díla je věcí zhotovitele stavby. Zadavatel nebude, ani nemůže stanovit zpracovatele realizační dokumentace.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7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soupisu prací pro stavební objekt SO 02-19-05 se nachází položka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5405"/>
        <w:gridCol w:w="820"/>
        <w:gridCol w:w="1240"/>
      </w:tblGrid>
      <w:tr w:rsidR="001B5327" w:rsidRPr="00676ACC" w:rsidTr="00713897">
        <w:trPr>
          <w:trHeight w:val="45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0001_R</w:t>
            </w:r>
          </w:p>
        </w:tc>
        <w:tc>
          <w:tcPr>
            <w:tcW w:w="6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Přechodné DZ (PD, zřízení, pronájem, údržba, odstranění, doprava) </w:t>
            </w: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br/>
              <w:t>předpokládaná délka uzavírky 60 dní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dní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60,000</w:t>
            </w:r>
          </w:p>
        </w:tc>
      </w:tr>
    </w:tbl>
    <w:p w:rsidR="001B5327" w:rsidRPr="00676ACC" w:rsidRDefault="001B5327" w:rsidP="001B5327">
      <w:pPr>
        <w:spacing w:after="0" w:line="240" w:lineRule="auto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Žádáme Zadavatele o doplnění skladby přechodného dopravního značení.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>Schéma přechodného DZ není předmětem této projektové dokumentace. Uchazeč si může nechat necenit realizaci přechodného DZ včetně PD a projednání u některé z odborných společností.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8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soupisu prací pro stavební objekt SO 02-19-05 se nachází položka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tbl>
      <w:tblPr>
        <w:tblW w:w="0" w:type="auto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5405"/>
        <w:gridCol w:w="820"/>
        <w:gridCol w:w="1240"/>
      </w:tblGrid>
      <w:tr w:rsidR="00676ACC" w:rsidRPr="00676ACC" w:rsidTr="00713897">
        <w:trPr>
          <w:trHeight w:val="67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502947</w:t>
            </w:r>
          </w:p>
        </w:tc>
        <w:tc>
          <w:tcPr>
            <w:tcW w:w="6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ZŘÍZENÍ KONSTRUKČNÍ VRSTVY TĚLESA ŽELEZNIČNÍHO SPODKU Z GEOBUŇKY</w:t>
            </w: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br/>
            </w:r>
            <w:proofErr w:type="spellStart"/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geobuňkový</w:t>
            </w:r>
            <w:proofErr w:type="spellEnd"/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 xml:space="preserve"> systém z HDPE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M2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327" w:rsidRPr="00676ACC" w:rsidRDefault="001B5327" w:rsidP="001B5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ACC">
              <w:rPr>
                <w:rFonts w:ascii="Times New Roman" w:eastAsia="Times New Roman" w:hAnsi="Times New Roman" w:cs="Times New Roman"/>
                <w:lang w:eastAsia="sk-SK"/>
              </w:rPr>
              <w:t>1 089,030</w:t>
            </w:r>
          </w:p>
        </w:tc>
      </w:tr>
    </w:tbl>
    <w:p w:rsidR="001B5327" w:rsidRPr="00676ACC" w:rsidRDefault="001B5327" w:rsidP="001B5327">
      <w:pPr>
        <w:spacing w:after="0" w:line="240" w:lineRule="auto"/>
        <w:rPr>
          <w:rFonts w:ascii="Times New Roman" w:hAnsi="Times New Roman" w:cs="Times New Roman"/>
        </w:rPr>
      </w:pP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Žádáme Zadavatele o doplnění přesné specifikace 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geobunkového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sytému hr. 15 cm.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>Projektant požaduje dodržení minimálních parametrů uvedených v tabulce 17 v OTP ”</w:t>
      </w:r>
      <w:proofErr w:type="spellStart"/>
      <w:r w:rsidRPr="00676ACC">
        <w:rPr>
          <w:rFonts w:ascii="Times New Roman" w:eastAsia="Times New Roman" w:hAnsi="Times New Roman" w:cs="Times New Roman"/>
          <w:i/>
          <w:lang w:eastAsia="sk-SK"/>
        </w:rPr>
        <w:t>Geosyntetika</w:t>
      </w:r>
      <w:proofErr w:type="spell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v tělese železničního spodku a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následně  ČSN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EN 12224.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9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názvu stavebního objektu SO 04-30-01 Kácení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mimolesní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zeleně a náhradní výsadba se uvádí o náhradní výsadbě.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technické správě se uvádí, že „Projekt náhradních výsadeb nebyl zpracován. Dotčené orgány nepředepsali náhradní“ výsadby.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Bude se náhradní výsadba realizovat dodatečně anebo Zadavatel doplní soupis prací?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>Dotčené orgány skutečně nepředepsaly náhradní výsadby. Název SO je zavádějící, ale nebylo možné ho již změnit. Náhradní výsadba není předmětem zadání a nebude realizována ani dodatečně.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10</w:t>
      </w:r>
    </w:p>
    <w:p w:rsidR="001B5327" w:rsidRPr="00676ACC" w:rsidRDefault="001B5327" w:rsidP="001B5327">
      <w:pPr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V položce č. 31 (číslo položky 922401) Zarážedlo kolejnicové je v Technické specifikaci uvedeno: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dodávka a osazení veškerých materiálů, nutných pro zřízení zarážedla, včetně nutných zemních prací, ochranných nátěrů,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zapískování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koleje,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vnitrostaveništní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a mimostaveništní dopravu veškerého materiálu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Dle Vzorového listu pro železniční spodek Ž9 je kolejnicové zarážedlo tvořeno ze součástí: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samotná konstrukce kolejnicového zarážedla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dřevěné pražce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dřevěný nárazníkový trámec pro osazení nárazníků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nárazníky 30kJ zarážedla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návěst „POSUN ZAKÁZAN“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Domníváme se správně, že položka č. 33 (číslo položky 923441)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Návěst  „POSUN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ZAKÁZAN“ přímo přislouchá k položce č. 31 a následně by měla být nulová?</w:t>
      </w: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Projektant vychází z předpokladu, že návěst není součástí dodávky zarážedla (položka </w:t>
      </w:r>
      <w:proofErr w:type="spellStart"/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poř.č</w:t>
      </w:r>
      <w:proofErr w:type="spellEnd"/>
      <w:r w:rsidRPr="00676ACC">
        <w:rPr>
          <w:rFonts w:ascii="Times New Roman" w:eastAsia="Times New Roman" w:hAnsi="Times New Roman" w:cs="Times New Roman"/>
          <w:i/>
          <w:lang w:eastAsia="sk-SK"/>
        </w:rPr>
        <w:t>.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31), tudíž má vlastní položku (položka poř.č.33)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11</w:t>
      </w:r>
    </w:p>
    <w:p w:rsidR="001B5327" w:rsidRPr="00676ACC" w:rsidRDefault="001B5327" w:rsidP="001B5327">
      <w:pPr>
        <w:contextualSpacing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Dle Technické specifikace k položce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č.38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(kód položky 965010) Odstranění kolejového lože a drážních stezek je uvedeno: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odstranění kolejového lože ručně nebo mechanizací, a to po nebo bez sejmutí kolejového roštu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Technické správě je však pro odstranění kolejového lože specifikováno, že „vytěžení starého kolejového lože (včetně mírně až silně znečištěného) se provede strojní čističkou do souprav s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výklopníkovým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 vozem“.</w:t>
      </w:r>
    </w:p>
    <w:p w:rsidR="001B5327" w:rsidRPr="00676ACC" w:rsidRDefault="001B5327" w:rsidP="001B5327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>Na základě dané souvislosti by se nemělo v Technické specifikaci k položce č. 38 uvést:</w:t>
      </w:r>
    </w:p>
    <w:p w:rsidR="001B5327" w:rsidRPr="00676ACC" w:rsidRDefault="001B5327" w:rsidP="001B5327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odstranění kolejového lože mechanizací, a to po sejmutí kolejového roštu?</w:t>
      </w: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Ve značné části, řekněme z 95-99% objemu, se nejprve štěrkové lože vytěží SČ a pak se dotěží zbytek štěrkového lože. </w:t>
      </w:r>
    </w:p>
    <w:p w:rsidR="001B5327" w:rsidRPr="00676ACC" w:rsidRDefault="001B5327" w:rsidP="001B5327">
      <w:pPr>
        <w:ind w:left="720"/>
        <w:contextualSpacing/>
        <w:rPr>
          <w:rFonts w:ascii="Times New Roman" w:hAnsi="Times New Roman" w:cs="Times New Roman"/>
          <w:lang w:bidi="ne-NP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12</w:t>
      </w:r>
    </w:p>
    <w:p w:rsidR="001B5327" w:rsidRPr="00676ACC" w:rsidRDefault="001B5327" w:rsidP="001B5327">
      <w:pPr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Ve výkaze výměr pro SO 02-17-01 </w:t>
      </w:r>
      <w:proofErr w:type="spellStart"/>
      <w:proofErr w:type="gramStart"/>
      <w:r w:rsidRPr="00676ACC">
        <w:rPr>
          <w:rFonts w:ascii="Times New Roman" w:hAnsi="Times New Roman" w:cs="Times New Roman"/>
          <w:lang w:bidi="ne-NP"/>
        </w:rPr>
        <w:t>t.ú</w:t>
      </w:r>
      <w:proofErr w:type="spellEnd"/>
      <w:r w:rsidRPr="00676ACC">
        <w:rPr>
          <w:rFonts w:ascii="Times New Roman" w:hAnsi="Times New Roman" w:cs="Times New Roman"/>
          <w:lang w:bidi="ne-NP"/>
        </w:rPr>
        <w:t>.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Ostrov nad Oslavou – Žďár nad Sázavou, železniční svršek je v položce č. 14 (kód položky 514000) Kolejové lože – pročištění v Technické specifikaci uvedena následovný hodnota: </w:t>
      </w:r>
    </w:p>
    <w:p w:rsidR="001B5327" w:rsidRPr="00676ACC" w:rsidRDefault="001B5327" w:rsidP="001B5327">
      <w:pPr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2 x 500 x 1,5 = 1500 m3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V Technické správě se uvádí, že „v místě silničního nadjezdu km 82,277 kde je navrženo snižování nivelety, bude před započetím prací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na 2.TK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provedeno pročištění ŠL koleje č.1 strojní čističkou za účelem postupného snížení nivelety až o 250mm pod podjezdem (jde o úsek km 81,900-82,400).“ 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Po zohlednění uvedené skutečnosti by nemělo v položce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č.14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Kolejové lože – pročištění figurovat množství 500 x 1,5 = 750 m3?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>Ano, zde by mělo být správně 1*500*1,5= 750 m3. Výměra položky a její výpočet jsou upraveny.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13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V položce </w:t>
      </w:r>
      <w:proofErr w:type="gramStart"/>
      <w:r w:rsidRPr="00676ACC">
        <w:rPr>
          <w:rFonts w:ascii="Times New Roman" w:hAnsi="Times New Roman" w:cs="Times New Roman"/>
          <w:lang w:bidi="ne-NP"/>
        </w:rPr>
        <w:t>č.17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(kód položky 52X000) Kolej zpětně namontována z vyzískaného materiálu SO 02-17-01 je v cenové kalkulaci potřebné uvažovat také s dodávkou nového drobného svrškového upevnění ze strany zhotovitele prací, nebo užitého upevnění ze strany objednatele prací (svěrky, svěrkové šrouby, matice, pružné kroužky, pražcové šrouby, pryžové a PE podložky)? V případě dodávky upevňovacího materiálu zhotovitelem prací by mohl </w:t>
      </w:r>
      <w:proofErr w:type="gramStart"/>
      <w:r w:rsidRPr="00676ACC">
        <w:rPr>
          <w:rFonts w:ascii="Times New Roman" w:hAnsi="Times New Roman" w:cs="Times New Roman"/>
          <w:lang w:bidi="ne-NP"/>
        </w:rPr>
        <w:t>být  specifikován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tvar železničního svršku v předmětných kolejích č. 1, 9b, 11 a v ŽST. Žďár nad Sázavou?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Zde se jedná o snesení a zpětnou montáž částí kolejí v prostoru ŽST Žďár nad Sázavou po zřízení příčné trasy svodného potrubí (příčný přechod pod kolejemi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č.1, 9b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, 11a a to v km 85,997) a to v době realizace koleje č.2. Dočasně vyjmutá kolejová pole budou vložena (po pokládce potrubí) zpět. V případě potřeby bude možné použít </w:t>
      </w:r>
      <w:proofErr w:type="spellStart"/>
      <w:r w:rsidRPr="00676ACC">
        <w:rPr>
          <w:rFonts w:ascii="Times New Roman" w:eastAsia="Times New Roman" w:hAnsi="Times New Roman" w:cs="Times New Roman"/>
          <w:i/>
          <w:lang w:eastAsia="sk-SK"/>
        </w:rPr>
        <w:t>výzisku</w:t>
      </w:r>
      <w:proofErr w:type="spell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z koleje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č.2.</w:t>
      </w:r>
      <w:proofErr w:type="gramEnd"/>
    </w:p>
    <w:p w:rsidR="001B5327" w:rsidRPr="00676ACC" w:rsidRDefault="001B5327" w:rsidP="001B532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14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V stavebním objektě SO 02-17-01 je v položce č. 41 (kód položky 965112) Demontáž koleje na betonových pražcích do kolejových polí s odvozem na montážní základnu bez následného rozebrání je v sloupci „P“ Výkaz výměr uvedeno množství 7699,0 m. Domníváme se, že se jedná o množství rekonstruované koleje č. 2 v délce km 78,278 850 – </w:t>
      </w:r>
      <w:proofErr w:type="gramStart"/>
      <w:r w:rsidRPr="00676ACC">
        <w:rPr>
          <w:rFonts w:ascii="Times New Roman" w:hAnsi="Times New Roman" w:cs="Times New Roman"/>
          <w:lang w:bidi="ne-NP"/>
        </w:rPr>
        <w:t>85,973 401 . . . cca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7695,0 m a tudíž by měla uvedená hodnota figurovat také ve výkazu výměr pro danou položku č. 41?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>Zde platí v 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pol.č.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41 množství 7695m, hodnota ve sloupci „výkaz </w:t>
      </w:r>
      <w:proofErr w:type="spellStart"/>
      <w:r w:rsidRPr="00676ACC">
        <w:rPr>
          <w:rFonts w:ascii="Times New Roman" w:eastAsia="Times New Roman" w:hAnsi="Times New Roman" w:cs="Times New Roman"/>
          <w:i/>
          <w:lang w:eastAsia="sk-SK"/>
        </w:rPr>
        <w:t>výměr“je</w:t>
      </w:r>
      <w:proofErr w:type="spell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upravena. 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15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V Technické správě je v odstavci </w:t>
      </w:r>
      <w:proofErr w:type="gramStart"/>
      <w:r w:rsidRPr="00676ACC">
        <w:rPr>
          <w:rFonts w:ascii="Times New Roman" w:hAnsi="Times New Roman" w:cs="Times New Roman"/>
          <w:lang w:bidi="ne-NP"/>
        </w:rPr>
        <w:t>6.12  Demontáž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kolejového roštu, nakládání s </w:t>
      </w:r>
      <w:proofErr w:type="spellStart"/>
      <w:r w:rsidRPr="00676ACC">
        <w:rPr>
          <w:rFonts w:ascii="Times New Roman" w:hAnsi="Times New Roman" w:cs="Times New Roman"/>
          <w:lang w:bidi="ne-NP"/>
        </w:rPr>
        <w:t>výziskem</w:t>
      </w:r>
      <w:proofErr w:type="spellEnd"/>
      <w:r w:rsidRPr="00676ACC">
        <w:rPr>
          <w:rFonts w:ascii="Times New Roman" w:hAnsi="Times New Roman" w:cs="Times New Roman"/>
          <w:lang w:bidi="ne-NP"/>
        </w:rPr>
        <w:t xml:space="preserve"> uvedeno: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KOLEJ Č. 1 :</w:t>
      </w:r>
    </w:p>
    <w:p w:rsidR="001B5327" w:rsidRPr="00676ACC" w:rsidRDefault="001B5327" w:rsidP="001B532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Kolej tv.S49 na SB6 bude v rámci tohoto SO snesena v délce cca 7 683m. Kolejové páry budou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dopraveny na základnu ŽST Sklené nad Oslavou, zde rozebrány na segmenty a protokolárně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předány ST-OŘ Brno.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KOLEJ Č. 2 :</w:t>
      </w:r>
    </w:p>
    <w:p w:rsidR="001B5327" w:rsidRPr="00676ACC" w:rsidRDefault="001B5327" w:rsidP="001B532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>Kolej tv.S49 na SB5 bude v rámci tohoto SO snesena v délce cca 7 695m. Kolejové páry budou</w:t>
      </w:r>
    </w:p>
    <w:p w:rsidR="001B5327" w:rsidRPr="00676ACC" w:rsidRDefault="001B5327" w:rsidP="001B532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dopraveny a uloženy na základnu ŽST Sklené nad Oslavou a protokolárně předány ST-OŘ Brno. 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676ACC">
        <w:rPr>
          <w:rFonts w:ascii="Times New Roman" w:eastAsia="Times New Roman" w:hAnsi="Times New Roman" w:cs="Times New Roman"/>
          <w:lang w:eastAsia="sk-SK"/>
        </w:rPr>
        <w:t xml:space="preserve">K předmětnému výkonu přepravy je ve výkaze výměr SO 02-17-01 uvedena položka č. 43 (kód položky 965115) Demontáž koleje na betonových pražcích - odvoz rozebraných součástí na montážní základnu v celkovém množství: 7683m x 0,65t/m x 10km = 49 939,50 </w:t>
      </w:r>
      <w:proofErr w:type="spellStart"/>
      <w:r w:rsidRPr="00676ACC">
        <w:rPr>
          <w:rFonts w:ascii="Times New Roman" w:eastAsia="Times New Roman" w:hAnsi="Times New Roman" w:cs="Times New Roman"/>
          <w:lang w:eastAsia="sk-SK"/>
        </w:rPr>
        <w:t>tkm</w:t>
      </w:r>
      <w:proofErr w:type="spellEnd"/>
      <w:r w:rsidRPr="00676ACC">
        <w:rPr>
          <w:rFonts w:ascii="Times New Roman" w:eastAsia="Times New Roman" w:hAnsi="Times New Roman" w:cs="Times New Roman"/>
          <w:lang w:eastAsia="sk-SK"/>
        </w:rPr>
        <w:t xml:space="preserve">. Jedná se tedy o kolej č. 1. Předpokládám, že vzdálenost mezi Ostrovem nad Oslavou a ŽST Sklené nad Oslavou je cca 10 km. Neměla by v předmětným výkaze výměr figurovat taky položka adekvátně beroucí do úvahu  přepravu snesené koleje </w:t>
      </w:r>
      <w:proofErr w:type="gramStart"/>
      <w:r w:rsidRPr="00676ACC">
        <w:rPr>
          <w:rFonts w:ascii="Times New Roman" w:eastAsia="Times New Roman" w:hAnsi="Times New Roman" w:cs="Times New Roman"/>
          <w:lang w:eastAsia="sk-SK"/>
        </w:rPr>
        <w:t>č.2 do</w:t>
      </w:r>
      <w:proofErr w:type="gramEnd"/>
      <w:r w:rsidRPr="00676ACC">
        <w:rPr>
          <w:rFonts w:ascii="Times New Roman" w:eastAsia="Times New Roman" w:hAnsi="Times New Roman" w:cs="Times New Roman"/>
          <w:lang w:eastAsia="sk-SK"/>
        </w:rPr>
        <w:t xml:space="preserve"> ŽST. Sklené nad Oslavou?</w:t>
      </w:r>
    </w:p>
    <w:p w:rsidR="001B5327" w:rsidRPr="00676ACC" w:rsidRDefault="001B5327" w:rsidP="001B532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Snesení, přeprava a demontáž koleje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č.2 je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zahrnuta v položce poř.č.41. Snesení, přeprava koleje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č.1 je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zahrnuta v položce poř.č.42. Položka </w:t>
      </w:r>
      <w:proofErr w:type="gramStart"/>
      <w:r w:rsidRPr="00676ACC">
        <w:rPr>
          <w:rFonts w:ascii="Times New Roman" w:eastAsia="Times New Roman" w:hAnsi="Times New Roman" w:cs="Times New Roman"/>
          <w:i/>
          <w:lang w:eastAsia="sk-SK"/>
        </w:rPr>
        <w:t>poř.č.</w:t>
      </w:r>
      <w:proofErr w:type="gramEnd"/>
      <w:r w:rsidRPr="00676ACC">
        <w:rPr>
          <w:rFonts w:ascii="Times New Roman" w:eastAsia="Times New Roman" w:hAnsi="Times New Roman" w:cs="Times New Roman"/>
          <w:i/>
          <w:lang w:eastAsia="sk-SK"/>
        </w:rPr>
        <w:t>43 je zavádějící a nadbytečná.</w:t>
      </w: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1B5327" w:rsidRPr="00676ACC" w:rsidRDefault="001B5327" w:rsidP="001B53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sk-SK"/>
        </w:rPr>
      </w:pPr>
      <w:r w:rsidRPr="00676ACC">
        <w:rPr>
          <w:rFonts w:ascii="Times New Roman" w:eastAsia="Times New Roman" w:hAnsi="Times New Roman" w:cs="Times New Roman"/>
          <w:b/>
          <w:u w:val="single"/>
          <w:lang w:eastAsia="sk-SK"/>
        </w:rPr>
        <w:t>Dotaz č. 16</w:t>
      </w:r>
    </w:p>
    <w:p w:rsidR="001B5327" w:rsidRPr="00676ACC" w:rsidRDefault="001B5327" w:rsidP="001B5327">
      <w:pPr>
        <w:contextualSpacing/>
        <w:rPr>
          <w:rFonts w:ascii="Times New Roman" w:hAnsi="Times New Roman" w:cs="Times New Roman"/>
          <w:lang w:bidi="ne-NP"/>
        </w:rPr>
      </w:pPr>
      <w:r w:rsidRPr="00676ACC">
        <w:rPr>
          <w:rFonts w:ascii="Times New Roman" w:hAnsi="Times New Roman" w:cs="Times New Roman"/>
          <w:lang w:bidi="ne-NP"/>
        </w:rPr>
        <w:t xml:space="preserve">Ve výkaze výměr pro SO 02-17-01 je v položce č. 30 (kód položky 74B9-R) Regulace TV uvedeno celkové množství </w:t>
      </w:r>
      <w:proofErr w:type="gramStart"/>
      <w:r w:rsidRPr="00676ACC">
        <w:rPr>
          <w:rFonts w:ascii="Times New Roman" w:hAnsi="Times New Roman" w:cs="Times New Roman"/>
          <w:lang w:bidi="ne-NP"/>
        </w:rPr>
        <w:t>1300 m (1.TK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: km 79,100 – 79,200; 79,400 – 79,800; 85,250 – 85,350; 85,750 – 85,950 a 81,900 – 82,400). V Technické zprávě je však pro stejný výkon uvedeno množství </w:t>
      </w:r>
      <w:proofErr w:type="gramStart"/>
      <w:r w:rsidRPr="00676ACC">
        <w:rPr>
          <w:rFonts w:ascii="Times New Roman" w:hAnsi="Times New Roman" w:cs="Times New Roman"/>
          <w:lang w:bidi="ne-NP"/>
        </w:rPr>
        <w:t>1250 m (1.TK</w:t>
      </w:r>
      <w:proofErr w:type="gramEnd"/>
      <w:r w:rsidRPr="00676ACC">
        <w:rPr>
          <w:rFonts w:ascii="Times New Roman" w:hAnsi="Times New Roman" w:cs="Times New Roman"/>
          <w:lang w:bidi="ne-NP"/>
        </w:rPr>
        <w:t xml:space="preserve"> : km 79,100 – 79,200; 79,400 – 79,800; 85,250 – 85,350; 85,750 – 85,900 a 81,900 – 82,400). Které s uvedených množství je určující?</w:t>
      </w:r>
    </w:p>
    <w:p w:rsidR="001B5327" w:rsidRPr="00676ACC" w:rsidRDefault="001B5327" w:rsidP="001B5327">
      <w:pPr>
        <w:contextualSpacing/>
        <w:rPr>
          <w:rFonts w:ascii="Times New Roman" w:hAnsi="Times New Roman" w:cs="Times New Roman"/>
          <w:i/>
          <w:lang w:bidi="ne-NP"/>
        </w:rPr>
      </w:pPr>
    </w:p>
    <w:p w:rsidR="001B5327" w:rsidRPr="00676ACC" w:rsidRDefault="001B5327" w:rsidP="001B5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676ACC">
        <w:rPr>
          <w:rFonts w:ascii="Times New Roman" w:eastAsia="Times New Roman" w:hAnsi="Times New Roman" w:cs="Times New Roman"/>
          <w:b/>
          <w:i/>
          <w:lang w:eastAsia="sk-SK"/>
        </w:rPr>
        <w:t>Odpověď: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Pr="00676ACC">
        <w:rPr>
          <w:rFonts w:ascii="Times New Roman" w:eastAsia="Times New Roman" w:hAnsi="Times New Roman" w:cs="Times New Roman"/>
          <w:i/>
          <w:lang w:eastAsia="sk-SK"/>
        </w:rPr>
        <w:t xml:space="preserve">V tomto případě uvažujte s hodnotou uvedenou ve výkazu výměr (1300m).   </w:t>
      </w:r>
    </w:p>
    <w:p w:rsidR="00455663" w:rsidRPr="00676ACC" w:rsidRDefault="00455663" w:rsidP="000A3CE5">
      <w:pPr>
        <w:spacing w:after="0" w:line="280" w:lineRule="atLeast"/>
        <w:rPr>
          <w:rFonts w:ascii="Times New Roman" w:eastAsia="Times New Roman" w:hAnsi="Times New Roman" w:cs="Times New Roman"/>
          <w:b/>
          <w:noProof/>
          <w:u w:val="single"/>
        </w:rPr>
      </w:pP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b/>
          <w:noProof/>
          <w:u w:val="single"/>
        </w:rPr>
      </w:pPr>
      <w:r w:rsidRPr="00676ACC">
        <w:rPr>
          <w:rFonts w:ascii="Times New Roman" w:eastAsia="Times New Roman" w:hAnsi="Times New Roman" w:cs="Times New Roman"/>
          <w:b/>
          <w:noProof/>
          <w:u w:val="single"/>
        </w:rPr>
        <w:t>Dotaz č.17: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676ACC">
        <w:rPr>
          <w:rFonts w:ascii="Times New Roman" w:eastAsia="Times New Roman" w:hAnsi="Times New Roman" w:cs="Times New Roman"/>
          <w:lang w:val="sv-SE"/>
        </w:rPr>
        <w:t>SO 02-17-01, pol.č. 14 514000 KOLEJOVÉ LOŽE – PROČIŠTĚNÍ</w:t>
      </w:r>
    </w:p>
    <w:p w:rsidR="00676ACC" w:rsidRPr="00676ACC" w:rsidRDefault="00676ACC" w:rsidP="00676ACC">
      <w:pPr>
        <w:numPr>
          <w:ilvl w:val="0"/>
          <w:numId w:val="23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676ACC">
        <w:rPr>
          <w:rFonts w:ascii="Times New Roman" w:eastAsia="Times New Roman" w:hAnsi="Times New Roman" w:cs="Times New Roman"/>
          <w:lang w:val="sv-SE"/>
        </w:rPr>
        <w:lastRenderedPageBreak/>
        <w:t>Z jakého důvodu má být snížena niveleta koleje č. 1 před zahájením stavebního postupu č. 1 o 250 mm?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676ACC" w:rsidRPr="00676ACC" w:rsidRDefault="00A828B4" w:rsidP="00676ACC">
      <w:pPr>
        <w:spacing w:after="0" w:line="280" w:lineRule="atLeast"/>
        <w:ind w:firstLine="360"/>
        <w:rPr>
          <w:rFonts w:ascii="Times New Roman" w:eastAsia="Times New Roman" w:hAnsi="Times New Roman" w:cs="Times New Roman"/>
          <w:i/>
          <w:lang w:val="sv-SE"/>
        </w:rPr>
      </w:pPr>
      <w:r w:rsidRPr="00A828B4">
        <w:rPr>
          <w:rFonts w:ascii="Times New Roman" w:eastAsia="Times New Roman" w:hAnsi="Times New Roman" w:cs="Times New Roman"/>
          <w:b/>
          <w:i/>
        </w:rPr>
        <w:t>Odpověď: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676ACC" w:rsidRPr="00676ACC">
        <w:rPr>
          <w:rFonts w:ascii="Times New Roman" w:eastAsia="Times New Roman" w:hAnsi="Times New Roman" w:cs="Times New Roman"/>
          <w:i/>
          <w:lang w:val="sv-SE"/>
        </w:rPr>
        <w:t>Niveleta koleje č.1 má být snížena o 250 mm za účelem eliminace problémů vznikajících z velkého výškového rozdílu nivelety provozované koleje a výkopu žel. Spodku koleje rekonstruované.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676ACC" w:rsidRPr="00676ACC" w:rsidRDefault="00676ACC" w:rsidP="00676ACC">
      <w:pPr>
        <w:numPr>
          <w:ilvl w:val="0"/>
          <w:numId w:val="23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676ACC">
        <w:rPr>
          <w:rFonts w:ascii="Times New Roman" w:eastAsia="Times New Roman" w:hAnsi="Times New Roman" w:cs="Times New Roman"/>
          <w:lang w:val="sv-SE"/>
        </w:rPr>
        <w:t>Jak bude po snížení nivelety koleje o 250 mm zajištěna dostatečný výška štěrkového lože pod ložnou plochou pražce?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676ACC" w:rsidRPr="00676ACC" w:rsidRDefault="00A828B4" w:rsidP="00676ACC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A828B4">
        <w:rPr>
          <w:rFonts w:ascii="Times New Roman" w:eastAsia="Times New Roman" w:hAnsi="Times New Roman" w:cs="Times New Roman"/>
          <w:b/>
          <w:i/>
        </w:rPr>
        <w:t>Odpověď: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676ACC" w:rsidRPr="00676ACC">
        <w:rPr>
          <w:rFonts w:ascii="Times New Roman" w:eastAsia="Times New Roman" w:hAnsi="Times New Roman" w:cs="Times New Roman"/>
          <w:i/>
          <w:lang w:val="sv-SE"/>
        </w:rPr>
        <w:t>Projektant vychází z informace správce a z geotechnického průzkumu. I po odtěžení 250 mm štěrkového lože by měla zůstat jeho dostatečná tloušťka pod pražcem pro zajištění provozuschopného provozorního stavu koleje pro rychlost 50 km/hod.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676ACC" w:rsidRPr="00676ACC" w:rsidRDefault="00676ACC" w:rsidP="00676ACC">
      <w:pPr>
        <w:numPr>
          <w:ilvl w:val="0"/>
          <w:numId w:val="23"/>
        </w:num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  <w:r w:rsidRPr="00676ACC">
        <w:rPr>
          <w:rFonts w:ascii="Times New Roman" w:eastAsia="Times New Roman" w:hAnsi="Times New Roman" w:cs="Times New Roman"/>
          <w:lang w:val="sv-SE"/>
        </w:rPr>
        <w:t>Jaké práce mají být v pol. č. 14 kalkulovány (čištění, těžení, podbíjení, dosypávání štěrku)?</w:t>
      </w:r>
    </w:p>
    <w:p w:rsidR="00676ACC" w:rsidRPr="00676ACC" w:rsidRDefault="00676ACC" w:rsidP="00676ACC">
      <w:pPr>
        <w:spacing w:after="0" w:line="280" w:lineRule="atLeast"/>
        <w:rPr>
          <w:rFonts w:ascii="Times New Roman" w:eastAsia="Times New Roman" w:hAnsi="Times New Roman" w:cs="Times New Roman"/>
          <w:lang w:val="sv-SE"/>
        </w:rPr>
      </w:pPr>
    </w:p>
    <w:p w:rsidR="00676ACC" w:rsidRPr="00676ACC" w:rsidRDefault="00A828B4" w:rsidP="00676ACC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A828B4">
        <w:rPr>
          <w:rFonts w:ascii="Times New Roman" w:eastAsia="Times New Roman" w:hAnsi="Times New Roman" w:cs="Times New Roman"/>
          <w:b/>
          <w:i/>
        </w:rPr>
        <w:t>Odpověď: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676ACC" w:rsidRPr="00676ACC">
        <w:rPr>
          <w:rFonts w:ascii="Times New Roman" w:eastAsia="Times New Roman" w:hAnsi="Times New Roman" w:cs="Times New Roman"/>
          <w:i/>
          <w:lang w:val="sv-SE"/>
        </w:rPr>
        <w:t>V položce poř.č.14 budou uvažovány veškeré práce a materiály potřebné pro uvedení koleje do provizorního provozuschopného stavu po odtěžení štěrku a s nížení nivelety o 250 mm. V tomto ohledu je upravena technická specifikace položky.</w:t>
      </w:r>
    </w:p>
    <w:p w:rsidR="00676ACC" w:rsidRPr="00676ACC" w:rsidRDefault="00676ACC" w:rsidP="00676ACC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</w:p>
    <w:p w:rsidR="00676ACC" w:rsidRPr="00676ACC" w:rsidRDefault="00676ACC" w:rsidP="00676ACC">
      <w:pPr>
        <w:spacing w:after="0" w:line="280" w:lineRule="atLeast"/>
        <w:ind w:firstLine="360"/>
        <w:jc w:val="both"/>
        <w:rPr>
          <w:rFonts w:ascii="Times New Roman" w:eastAsia="Times New Roman" w:hAnsi="Times New Roman" w:cs="Times New Roman"/>
          <w:i/>
          <w:lang w:val="sv-SE"/>
        </w:rPr>
      </w:pPr>
      <w:r w:rsidRPr="00676ACC">
        <w:rPr>
          <w:rFonts w:ascii="Times New Roman" w:eastAsia="Times New Roman" w:hAnsi="Times New Roman" w:cs="Times New Roman"/>
          <w:i/>
          <w:lang w:val="sv-SE"/>
        </w:rPr>
        <w:t>Současně, v souvislosti s dotazem jiného uchazeče, je upravena i výměra položky</w:t>
      </w:r>
    </w:p>
    <w:p w:rsidR="001B5327" w:rsidRDefault="001B532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76ACC" w:rsidRDefault="00676ACC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51932" w:rsidRPr="00FB1B3E" w:rsidRDefault="00C5193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lang w:eastAsia="cs-CZ"/>
        </w:rPr>
        <w:t xml:space="preserve">Opravená část soupisu prací, dodávek a služeb s výkazem výměr (dále jen „soupis prací“) tvoří přílohu této dodatečné informace a rovněž bude uveřejněna na profilu zadavatele na webovém portálu </w:t>
      </w:r>
      <w:r w:rsidRPr="00FB1B3E">
        <w:rPr>
          <w:rFonts w:ascii="Times New Roman" w:eastAsia="Times New Roman" w:hAnsi="Times New Roman" w:cs="Times New Roman"/>
          <w:u w:val="single"/>
          <w:lang w:eastAsia="cs-CZ"/>
        </w:rPr>
        <w:t>https://www.vhodne-uverejneni.cz/profil/70994234.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Uchazeči jsou tedy povinni v zadávacím řízení použít tuto opravenou část soupisu prací.</w:t>
      </w:r>
    </w:p>
    <w:p w:rsidR="00C51932" w:rsidRPr="00FB1B3E" w:rsidRDefault="00C51932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C51932" w:rsidRPr="00FB1B3E" w:rsidRDefault="00C5193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lang w:eastAsia="cs-CZ"/>
        </w:rPr>
        <w:t xml:space="preserve">Zadavatel v souladu s § 147 odst. 8 zákona č. 137/2006 Sb., o veřejných zakázkách, provedl úpravy v uveřejněném oznámení. Opravné Oznámení o zakázce – veřejné služby bylo uveřejněno na webovém portálu </w:t>
      </w:r>
      <w:hyperlink r:id="rId8" w:history="1">
        <w:r w:rsidRPr="00FB1B3E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B1B3E">
        <w:rPr>
          <w:rFonts w:ascii="Times New Roman" w:eastAsia="Times New Roman" w:hAnsi="Times New Roman" w:cs="Times New Roman"/>
          <w:lang w:eastAsia="cs-CZ"/>
        </w:rPr>
        <w:t xml:space="preserve"> (uveřejněno</w:t>
      </w:r>
      <w:r w:rsidR="00E56467" w:rsidRPr="00FB1B3E">
        <w:rPr>
          <w:rFonts w:ascii="Times New Roman" w:eastAsia="Times New Roman" w:hAnsi="Times New Roman" w:cs="Times New Roman"/>
          <w:lang w:eastAsia="cs-CZ"/>
        </w:rPr>
        <w:t xml:space="preserve"> pod evidenčním číslem VZ 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525425</w:t>
      </w:r>
      <w:r w:rsidRPr="00FB1B3E">
        <w:rPr>
          <w:rFonts w:ascii="Times New Roman" w:eastAsia="Times New Roman" w:hAnsi="Times New Roman" w:cs="Times New Roman"/>
          <w:lang w:eastAsia="cs-CZ"/>
        </w:rPr>
        <w:t>).</w:t>
      </w:r>
    </w:p>
    <w:p w:rsidR="004C709A" w:rsidRPr="00FB1B3E" w:rsidRDefault="004C709A" w:rsidP="004C70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51932" w:rsidRPr="00FB1B3E" w:rsidRDefault="004C709A" w:rsidP="00FE6E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úpravy zadávacích podmínek, postupuje zadavatel v souladu s </w:t>
      </w:r>
      <w:proofErr w:type="spellStart"/>
      <w:r w:rsidRPr="00FB1B3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B1B3E">
        <w:rPr>
          <w:rFonts w:ascii="Times New Roman" w:eastAsia="Times New Roman" w:hAnsi="Times New Roman" w:cs="Times New Roman"/>
          <w:lang w:eastAsia="cs-CZ"/>
        </w:rPr>
        <w:t>. § 40 odst. 3 zákona a prodlužuje lhůtu pro podání nabídek ze d</w:t>
      </w:r>
      <w:r w:rsidR="00D20CE5">
        <w:rPr>
          <w:rFonts w:ascii="Times New Roman" w:eastAsia="Times New Roman" w:hAnsi="Times New Roman" w:cs="Times New Roman"/>
          <w:lang w:eastAsia="cs-CZ"/>
        </w:rPr>
        <w:t>ne 7. 1. 2016 na den 8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 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, tedy o 1 kalendářní den. V Opravném Oznámení o zakázce – veřejné služby se tedy mění následující lhůty: </w:t>
      </w:r>
    </w:p>
    <w:p w:rsidR="0013410E" w:rsidRPr="00FB1B3E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51932" w:rsidRPr="00FB1B3E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b/>
          <w:lang w:eastAsia="cs-CZ"/>
        </w:rPr>
        <w:t xml:space="preserve">Oddíl IV. 3.3): 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rušíme 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>datum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D20CE5">
        <w:rPr>
          <w:rFonts w:ascii="Times New Roman" w:eastAsia="Times New Roman" w:hAnsi="Times New Roman" w:cs="Times New Roman"/>
          <w:lang w:eastAsia="cs-CZ"/>
        </w:rPr>
        <w:t>7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D20CE5">
        <w:rPr>
          <w:rFonts w:ascii="Times New Roman" w:eastAsia="Times New Roman" w:hAnsi="Times New Roman" w:cs="Times New Roman"/>
          <w:lang w:eastAsia="cs-CZ"/>
        </w:rPr>
        <w:t>8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 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FB1B3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51932" w:rsidRPr="00FB1B3E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b/>
          <w:lang w:eastAsia="cs-CZ"/>
        </w:rPr>
        <w:t xml:space="preserve">Oddíl IV. 3.4): 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>rušíme datum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D20CE5">
        <w:rPr>
          <w:rFonts w:ascii="Times New Roman" w:eastAsia="Times New Roman" w:hAnsi="Times New Roman" w:cs="Times New Roman"/>
          <w:lang w:eastAsia="cs-CZ"/>
        </w:rPr>
        <w:t>7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D20CE5">
        <w:rPr>
          <w:rFonts w:ascii="Times New Roman" w:eastAsia="Times New Roman" w:hAnsi="Times New Roman" w:cs="Times New Roman"/>
          <w:lang w:eastAsia="cs-CZ"/>
        </w:rPr>
        <w:t>8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 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10:00 hod.,</w:t>
      </w:r>
    </w:p>
    <w:p w:rsidR="00C51932" w:rsidRPr="00FB1B3E" w:rsidRDefault="00C51932" w:rsidP="00C519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B1B3E">
        <w:rPr>
          <w:rFonts w:ascii="Times New Roman" w:eastAsia="Times New Roman" w:hAnsi="Times New Roman" w:cs="Times New Roman"/>
          <w:b/>
          <w:lang w:eastAsia="cs-CZ"/>
        </w:rPr>
        <w:t xml:space="preserve">Oddíl IV. 3.7): 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>rušíme datum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D20CE5">
        <w:rPr>
          <w:rFonts w:ascii="Times New Roman" w:eastAsia="Times New Roman" w:hAnsi="Times New Roman" w:cs="Times New Roman"/>
          <w:lang w:eastAsia="cs-CZ"/>
        </w:rPr>
        <w:t>7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</w:t>
      </w:r>
      <w:r w:rsidR="00F54875" w:rsidRPr="00FB1B3E">
        <w:rPr>
          <w:rFonts w:ascii="Times New Roman" w:eastAsia="Times New Roman" w:hAnsi="Times New Roman" w:cs="Times New Roman"/>
          <w:lang w:eastAsia="cs-CZ"/>
        </w:rPr>
        <w:t xml:space="preserve"> 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D20CE5">
        <w:rPr>
          <w:rFonts w:ascii="Times New Roman" w:eastAsia="Times New Roman" w:hAnsi="Times New Roman" w:cs="Times New Roman"/>
          <w:lang w:eastAsia="cs-CZ"/>
        </w:rPr>
        <w:t>8</w:t>
      </w:r>
      <w:r w:rsidR="00F84D24" w:rsidRPr="00FB1B3E">
        <w:rPr>
          <w:rFonts w:ascii="Times New Roman" w:eastAsia="Times New Roman" w:hAnsi="Times New Roman" w:cs="Times New Roman"/>
          <w:lang w:eastAsia="cs-CZ"/>
        </w:rPr>
        <w:t>. 1. 2016</w:t>
      </w:r>
      <w:r w:rsidRPr="00FB1B3E">
        <w:rPr>
          <w:rFonts w:ascii="Times New Roman" w:eastAsia="Times New Roman" w:hAnsi="Times New Roman" w:cs="Times New Roman"/>
          <w:lang w:eastAsia="cs-CZ"/>
        </w:rPr>
        <w:t xml:space="preserve"> v 10:15 hod.,</w:t>
      </w:r>
    </w:p>
    <w:p w:rsidR="00BE53B6" w:rsidRPr="00FB1B3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51932" w:rsidRPr="008E6F16" w:rsidRDefault="00BE53B6" w:rsidP="0066369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lang w:eastAsia="cs-CZ"/>
        </w:rPr>
      </w:pPr>
      <w:r w:rsidRPr="00FB1B3E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FB1B3E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="00F17AE3">
        <w:rPr>
          <w:rFonts w:ascii="Times New Roman" w:hAnsi="Times New Roman" w:cs="Times New Roman"/>
        </w:rPr>
        <w:t>aktualizovaný soupis prací</w:t>
      </w:r>
      <w:r w:rsidR="004B71C3" w:rsidRPr="00FB1B3E">
        <w:rPr>
          <w:rFonts w:ascii="Times New Roman" w:hAnsi="Times New Roman" w:cs="Times New Roman"/>
        </w:rPr>
        <w:br/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V</w:t>
      </w:r>
      <w:r w:rsidR="00F45479" w:rsidRPr="008E6F16">
        <w:rPr>
          <w:rFonts w:ascii="Times New Roman" w:hAnsi="Times New Roman" w:cs="Times New Roman"/>
          <w:lang w:eastAsia="cs-CZ"/>
        </w:rPr>
        <w:t> </w:t>
      </w:r>
      <w:r w:rsidRPr="008E6F16">
        <w:rPr>
          <w:rFonts w:ascii="Times New Roman" w:hAnsi="Times New Roman" w:cs="Times New Roman"/>
          <w:lang w:eastAsia="cs-CZ"/>
        </w:rPr>
        <w:t>Praze dne</w:t>
      </w:r>
    </w:p>
    <w:p w:rsidR="0066369E" w:rsidRPr="008E6F16" w:rsidRDefault="0066369E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ab/>
      </w:r>
      <w:r w:rsidRPr="008E6F16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ředitelka odboru investičního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na základě „Pověření“ č. 1604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ze dne 13.</w:t>
      </w:r>
      <w:r w:rsidR="00F54875" w:rsidRPr="008E6F16">
        <w:rPr>
          <w:rFonts w:ascii="Times New Roman" w:hAnsi="Times New Roman" w:cs="Times New Roman"/>
          <w:lang w:eastAsia="cs-CZ"/>
        </w:rPr>
        <w:t xml:space="preserve"> </w:t>
      </w:r>
      <w:r w:rsidRPr="008E6F16">
        <w:rPr>
          <w:rFonts w:ascii="Times New Roman" w:hAnsi="Times New Roman" w:cs="Times New Roman"/>
          <w:lang w:eastAsia="cs-CZ"/>
        </w:rPr>
        <w:t>06.</w:t>
      </w:r>
      <w:r w:rsidR="00F54875" w:rsidRPr="008E6F16">
        <w:rPr>
          <w:rFonts w:ascii="Times New Roman" w:hAnsi="Times New Roman" w:cs="Times New Roman"/>
          <w:lang w:eastAsia="cs-CZ"/>
        </w:rPr>
        <w:t xml:space="preserve"> </w:t>
      </w:r>
      <w:r w:rsidRPr="008E6F16">
        <w:rPr>
          <w:rFonts w:ascii="Times New Roman" w:hAnsi="Times New Roman" w:cs="Times New Roman"/>
          <w:lang w:eastAsia="cs-CZ"/>
        </w:rPr>
        <w:t>2013</w:t>
      </w:r>
    </w:p>
    <w:p w:rsidR="00BE53B6" w:rsidRPr="008E6F16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E6F16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8E6F16" w:rsidRDefault="00BE53B6" w:rsidP="000274CE">
      <w:pPr>
        <w:ind w:left="6372"/>
      </w:pPr>
      <w:r w:rsidRPr="008E6F16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BE53B6" w:rsidRPr="008E6F16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CD" w:rsidRDefault="006C37CD" w:rsidP="00C4694C">
      <w:pPr>
        <w:spacing w:after="0" w:line="240" w:lineRule="auto"/>
      </w:pPr>
      <w:r>
        <w:separator/>
      </w:r>
    </w:p>
  </w:endnote>
  <w:endnote w:type="continuationSeparator" w:id="0">
    <w:p w:rsidR="006C37CD" w:rsidRDefault="006C37C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CD" w:rsidRDefault="006C37CD" w:rsidP="00C4694C">
      <w:pPr>
        <w:spacing w:after="0" w:line="240" w:lineRule="auto"/>
      </w:pPr>
      <w:r>
        <w:separator/>
      </w:r>
    </w:p>
  </w:footnote>
  <w:footnote w:type="continuationSeparator" w:id="0">
    <w:p w:rsidR="006C37CD" w:rsidRDefault="006C37C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  <w:r w:rsidR="00147438" w:rsidRPr="0077051F">
      <w:rPr>
        <w:noProof/>
        <w:lang w:eastAsia="cs-CZ"/>
      </w:rPr>
      <w:drawing>
        <wp:inline distT="0" distB="0" distL="0" distR="0">
          <wp:extent cx="946150" cy="161290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161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622848"/>
    <w:multiLevelType w:val="hybridMultilevel"/>
    <w:tmpl w:val="1BB8CA9A"/>
    <w:lvl w:ilvl="0" w:tplc="47A2A13C">
      <w:start w:val="1"/>
      <w:numFmt w:val="lowerLetter"/>
      <w:lvlText w:val="%1)"/>
      <w:lvlJc w:val="left"/>
      <w:pPr>
        <w:ind w:left="420" w:hanging="360"/>
      </w:pPr>
    </w:lvl>
    <w:lvl w:ilvl="1" w:tplc="041B0019">
      <w:start w:val="1"/>
      <w:numFmt w:val="lowerLetter"/>
      <w:lvlText w:val="%2."/>
      <w:lvlJc w:val="left"/>
      <w:pPr>
        <w:ind w:left="1140" w:hanging="360"/>
      </w:pPr>
    </w:lvl>
    <w:lvl w:ilvl="2" w:tplc="041B001B">
      <w:start w:val="1"/>
      <w:numFmt w:val="lowerRoman"/>
      <w:lvlText w:val="%3."/>
      <w:lvlJc w:val="right"/>
      <w:pPr>
        <w:ind w:left="1860" w:hanging="180"/>
      </w:pPr>
    </w:lvl>
    <w:lvl w:ilvl="3" w:tplc="041B000F">
      <w:start w:val="1"/>
      <w:numFmt w:val="decimal"/>
      <w:lvlText w:val="%4."/>
      <w:lvlJc w:val="left"/>
      <w:pPr>
        <w:ind w:left="2580" w:hanging="360"/>
      </w:pPr>
    </w:lvl>
    <w:lvl w:ilvl="4" w:tplc="041B0019">
      <w:start w:val="1"/>
      <w:numFmt w:val="lowerLetter"/>
      <w:lvlText w:val="%5."/>
      <w:lvlJc w:val="left"/>
      <w:pPr>
        <w:ind w:left="3300" w:hanging="360"/>
      </w:pPr>
    </w:lvl>
    <w:lvl w:ilvl="5" w:tplc="041B001B">
      <w:start w:val="1"/>
      <w:numFmt w:val="lowerRoman"/>
      <w:lvlText w:val="%6."/>
      <w:lvlJc w:val="right"/>
      <w:pPr>
        <w:ind w:left="4020" w:hanging="180"/>
      </w:pPr>
    </w:lvl>
    <w:lvl w:ilvl="6" w:tplc="041B000F">
      <w:start w:val="1"/>
      <w:numFmt w:val="decimal"/>
      <w:lvlText w:val="%7."/>
      <w:lvlJc w:val="left"/>
      <w:pPr>
        <w:ind w:left="4740" w:hanging="360"/>
      </w:pPr>
    </w:lvl>
    <w:lvl w:ilvl="7" w:tplc="041B0019">
      <w:start w:val="1"/>
      <w:numFmt w:val="lowerLetter"/>
      <w:lvlText w:val="%8."/>
      <w:lvlJc w:val="left"/>
      <w:pPr>
        <w:ind w:left="5460" w:hanging="360"/>
      </w:pPr>
    </w:lvl>
    <w:lvl w:ilvl="8" w:tplc="041B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C421A"/>
    <w:multiLevelType w:val="hybridMultilevel"/>
    <w:tmpl w:val="99CA83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1600EF"/>
    <w:multiLevelType w:val="hybridMultilevel"/>
    <w:tmpl w:val="6906AB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412D70"/>
    <w:multiLevelType w:val="hybridMultilevel"/>
    <w:tmpl w:val="6F187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8B402F4"/>
    <w:multiLevelType w:val="hybridMultilevel"/>
    <w:tmpl w:val="AE86CE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549FC"/>
    <w:multiLevelType w:val="hybridMultilevel"/>
    <w:tmpl w:val="594E9B7E"/>
    <w:lvl w:ilvl="0" w:tplc="26501A9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F0865CF"/>
    <w:multiLevelType w:val="hybridMultilevel"/>
    <w:tmpl w:val="1BF62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E5FDD"/>
    <w:multiLevelType w:val="hybridMultilevel"/>
    <w:tmpl w:val="CD14F0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902CF0"/>
    <w:multiLevelType w:val="hybridMultilevel"/>
    <w:tmpl w:val="86748A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B706B5"/>
    <w:multiLevelType w:val="hybridMultilevel"/>
    <w:tmpl w:val="0B54F0DC"/>
    <w:lvl w:ilvl="0" w:tplc="89D66F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09510F"/>
    <w:multiLevelType w:val="hybridMultilevel"/>
    <w:tmpl w:val="F0522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4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"/>
  </w:num>
  <w:num w:numId="11">
    <w:abstractNumId w:val="11"/>
  </w:num>
  <w:num w:numId="12">
    <w:abstractNumId w:val="17"/>
  </w:num>
  <w:num w:numId="13">
    <w:abstractNumId w:val="19"/>
  </w:num>
  <w:num w:numId="14">
    <w:abstractNumId w:val="20"/>
  </w:num>
  <w:num w:numId="15">
    <w:abstractNumId w:val="21"/>
  </w:num>
  <w:num w:numId="16">
    <w:abstractNumId w:val="18"/>
  </w:num>
  <w:num w:numId="17">
    <w:abstractNumId w:val="12"/>
  </w:num>
  <w:num w:numId="18">
    <w:abstractNumId w:val="22"/>
  </w:num>
  <w:num w:numId="19">
    <w:abstractNumId w:val="6"/>
  </w:num>
  <w:num w:numId="20">
    <w:abstractNumId w:val="1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971E9"/>
    <w:rsid w:val="000A3CE5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B5327"/>
    <w:rsid w:val="001C48B8"/>
    <w:rsid w:val="001C6C14"/>
    <w:rsid w:val="001D0A14"/>
    <w:rsid w:val="001D6750"/>
    <w:rsid w:val="001E4625"/>
    <w:rsid w:val="001E5F1A"/>
    <w:rsid w:val="001F397F"/>
    <w:rsid w:val="002005DB"/>
    <w:rsid w:val="00203B2C"/>
    <w:rsid w:val="00207F3F"/>
    <w:rsid w:val="0021664B"/>
    <w:rsid w:val="00227108"/>
    <w:rsid w:val="00231D20"/>
    <w:rsid w:val="00245024"/>
    <w:rsid w:val="00245BC6"/>
    <w:rsid w:val="00245FDA"/>
    <w:rsid w:val="00247B5D"/>
    <w:rsid w:val="002620B3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409"/>
    <w:rsid w:val="002B3A98"/>
    <w:rsid w:val="002B64FF"/>
    <w:rsid w:val="002C668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2979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E0E"/>
    <w:rsid w:val="003D7390"/>
    <w:rsid w:val="003E01F2"/>
    <w:rsid w:val="003E3E44"/>
    <w:rsid w:val="003E55FE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5663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B71C3"/>
    <w:rsid w:val="004C257E"/>
    <w:rsid w:val="004C4648"/>
    <w:rsid w:val="004C709A"/>
    <w:rsid w:val="004E1F6C"/>
    <w:rsid w:val="004E46D6"/>
    <w:rsid w:val="004F47B5"/>
    <w:rsid w:val="004F61E2"/>
    <w:rsid w:val="0050489B"/>
    <w:rsid w:val="005054C8"/>
    <w:rsid w:val="00510C35"/>
    <w:rsid w:val="005111B6"/>
    <w:rsid w:val="00512091"/>
    <w:rsid w:val="00515F2F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6369E"/>
    <w:rsid w:val="00676AC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37CD"/>
    <w:rsid w:val="006C70F6"/>
    <w:rsid w:val="006C7858"/>
    <w:rsid w:val="006D30A2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0DD6"/>
    <w:rsid w:val="00766606"/>
    <w:rsid w:val="0077051F"/>
    <w:rsid w:val="007A44F4"/>
    <w:rsid w:val="007A70C1"/>
    <w:rsid w:val="007B103F"/>
    <w:rsid w:val="007B4FF7"/>
    <w:rsid w:val="007B5C0A"/>
    <w:rsid w:val="007C31D1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6F16"/>
    <w:rsid w:val="008F013A"/>
    <w:rsid w:val="008F29A2"/>
    <w:rsid w:val="008F6DD9"/>
    <w:rsid w:val="008F76DE"/>
    <w:rsid w:val="00904E8D"/>
    <w:rsid w:val="0090662F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406F4"/>
    <w:rsid w:val="00944327"/>
    <w:rsid w:val="009477BD"/>
    <w:rsid w:val="00956A09"/>
    <w:rsid w:val="009609A9"/>
    <w:rsid w:val="009811F1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349F"/>
    <w:rsid w:val="009A5F16"/>
    <w:rsid w:val="009B618C"/>
    <w:rsid w:val="009C2FE0"/>
    <w:rsid w:val="009D5C15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5E1"/>
    <w:rsid w:val="00A348E0"/>
    <w:rsid w:val="00A359EE"/>
    <w:rsid w:val="00A40B6A"/>
    <w:rsid w:val="00A436C1"/>
    <w:rsid w:val="00A52E0B"/>
    <w:rsid w:val="00A6041C"/>
    <w:rsid w:val="00A65A46"/>
    <w:rsid w:val="00A828B4"/>
    <w:rsid w:val="00A90A72"/>
    <w:rsid w:val="00A91C8C"/>
    <w:rsid w:val="00AA2388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32914"/>
    <w:rsid w:val="00B36FC0"/>
    <w:rsid w:val="00B41B7B"/>
    <w:rsid w:val="00B45A2F"/>
    <w:rsid w:val="00B523ED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236D"/>
    <w:rsid w:val="00D067EC"/>
    <w:rsid w:val="00D20CE5"/>
    <w:rsid w:val="00D22E02"/>
    <w:rsid w:val="00D25B11"/>
    <w:rsid w:val="00D3342D"/>
    <w:rsid w:val="00D423FA"/>
    <w:rsid w:val="00D50C9F"/>
    <w:rsid w:val="00D701A3"/>
    <w:rsid w:val="00D73D19"/>
    <w:rsid w:val="00D73FE5"/>
    <w:rsid w:val="00D7675E"/>
    <w:rsid w:val="00D807F5"/>
    <w:rsid w:val="00D81310"/>
    <w:rsid w:val="00D859E7"/>
    <w:rsid w:val="00DA0DEE"/>
    <w:rsid w:val="00DA2634"/>
    <w:rsid w:val="00DA3602"/>
    <w:rsid w:val="00DA4D38"/>
    <w:rsid w:val="00DB5027"/>
    <w:rsid w:val="00DB5C3B"/>
    <w:rsid w:val="00DC145E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28B6"/>
    <w:rsid w:val="00E35031"/>
    <w:rsid w:val="00E42975"/>
    <w:rsid w:val="00E43BB3"/>
    <w:rsid w:val="00E53D7C"/>
    <w:rsid w:val="00E54557"/>
    <w:rsid w:val="00E55557"/>
    <w:rsid w:val="00E56467"/>
    <w:rsid w:val="00E617AA"/>
    <w:rsid w:val="00E620D4"/>
    <w:rsid w:val="00E70986"/>
    <w:rsid w:val="00E70FBD"/>
    <w:rsid w:val="00E761A9"/>
    <w:rsid w:val="00E8190E"/>
    <w:rsid w:val="00E844E3"/>
    <w:rsid w:val="00E85446"/>
    <w:rsid w:val="00E94467"/>
    <w:rsid w:val="00EA5769"/>
    <w:rsid w:val="00EA6835"/>
    <w:rsid w:val="00EA73E1"/>
    <w:rsid w:val="00EB0D01"/>
    <w:rsid w:val="00EB4870"/>
    <w:rsid w:val="00EB55CA"/>
    <w:rsid w:val="00EB77F6"/>
    <w:rsid w:val="00EC54F5"/>
    <w:rsid w:val="00ED1727"/>
    <w:rsid w:val="00ED6238"/>
    <w:rsid w:val="00EE04D2"/>
    <w:rsid w:val="00EE1026"/>
    <w:rsid w:val="00EE3345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17AE3"/>
    <w:rsid w:val="00F24CF5"/>
    <w:rsid w:val="00F272E2"/>
    <w:rsid w:val="00F3078C"/>
    <w:rsid w:val="00F31298"/>
    <w:rsid w:val="00F31995"/>
    <w:rsid w:val="00F32B14"/>
    <w:rsid w:val="00F35D81"/>
    <w:rsid w:val="00F37ECC"/>
    <w:rsid w:val="00F45479"/>
    <w:rsid w:val="00F51049"/>
    <w:rsid w:val="00F530F0"/>
    <w:rsid w:val="00F54875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4D24"/>
    <w:rsid w:val="00F86990"/>
    <w:rsid w:val="00F869A7"/>
    <w:rsid w:val="00F86F02"/>
    <w:rsid w:val="00F949E5"/>
    <w:rsid w:val="00FB01DA"/>
    <w:rsid w:val="00FB1B3E"/>
    <w:rsid w:val="00FB6EA8"/>
    <w:rsid w:val="00FC7FD6"/>
    <w:rsid w:val="00FD20BD"/>
    <w:rsid w:val="00FD4BDA"/>
    <w:rsid w:val="00FE3C69"/>
    <w:rsid w:val="00FE3F0D"/>
    <w:rsid w:val="00FE4F61"/>
    <w:rsid w:val="00FE6E6B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2112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11</cp:revision>
  <cp:lastPrinted>2015-12-08T11:42:00Z</cp:lastPrinted>
  <dcterms:created xsi:type="dcterms:W3CDTF">2015-12-08T12:23:00Z</dcterms:created>
  <dcterms:modified xsi:type="dcterms:W3CDTF">2015-12-29T12:04:00Z</dcterms:modified>
</cp:coreProperties>
</file>